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6C5" w:rsidRPr="005E11EE" w:rsidRDefault="008E03B7" w:rsidP="002016C5">
      <w:pPr>
        <w:autoSpaceDE w:val="0"/>
        <w:autoSpaceDN w:val="0"/>
        <w:adjustRightInd w:val="0"/>
        <w:spacing w:after="0" w:line="240" w:lineRule="auto"/>
        <w:jc w:val="both"/>
        <w:rPr>
          <w:rFonts w:eastAsia="Calibri" w:cs="Arial"/>
          <w:b/>
          <w:sz w:val="24"/>
          <w:szCs w:val="24"/>
          <w:lang w:val="en-US" w:eastAsia="en-GB"/>
        </w:rPr>
      </w:pPr>
      <w:bookmarkStart w:id="0" w:name="_GoBack"/>
      <w:bookmarkEnd w:id="0"/>
      <w:r w:rsidRPr="008E03B7">
        <w:rPr>
          <w:rFonts w:eastAsia="Calibri" w:cs="Arial"/>
          <w:b/>
          <w:sz w:val="24"/>
          <w:szCs w:val="24"/>
          <w:lang w:val="en-US" w:eastAsia="en-GB"/>
        </w:rPr>
        <w:t>THE SITUATION</w:t>
      </w:r>
    </w:p>
    <w:p w:rsidR="002016C5" w:rsidRPr="005E11EE" w:rsidRDefault="002016C5" w:rsidP="002016C5">
      <w:pPr>
        <w:autoSpaceDE w:val="0"/>
        <w:autoSpaceDN w:val="0"/>
        <w:adjustRightInd w:val="0"/>
        <w:spacing w:after="0" w:line="240" w:lineRule="auto"/>
        <w:jc w:val="both"/>
        <w:rPr>
          <w:rFonts w:eastAsia="Calibri" w:cs="Arial"/>
          <w:b/>
          <w:sz w:val="24"/>
          <w:szCs w:val="24"/>
          <w:lang w:val="en-US" w:eastAsia="en-GB"/>
        </w:rPr>
      </w:pPr>
    </w:p>
    <w:p w:rsidR="002016C5" w:rsidRPr="005E11EE" w:rsidRDefault="002016C5" w:rsidP="002016C5">
      <w:pPr>
        <w:autoSpaceDE w:val="0"/>
        <w:autoSpaceDN w:val="0"/>
        <w:adjustRightInd w:val="0"/>
        <w:spacing w:after="0" w:line="240" w:lineRule="auto"/>
        <w:jc w:val="both"/>
        <w:rPr>
          <w:rFonts w:eastAsia="Calibri" w:cs="Arial"/>
          <w:b/>
          <w:sz w:val="24"/>
          <w:szCs w:val="24"/>
          <w:lang w:val="en-US" w:eastAsia="en-GB"/>
        </w:rPr>
      </w:pPr>
      <w:r w:rsidRPr="002016C5">
        <w:rPr>
          <w:b/>
          <w:sz w:val="24"/>
          <w:szCs w:val="24"/>
          <w:lang w:val="en-US"/>
        </w:rPr>
        <w:t xml:space="preserve">Institutions might record their own data in the everyday practice, but the Ministry of Health doesn't have this data.  </w:t>
      </w:r>
      <w:r w:rsidRPr="005E11EE">
        <w:rPr>
          <w:b/>
          <w:sz w:val="24"/>
          <w:szCs w:val="24"/>
          <w:lang w:val="en-US"/>
        </w:rPr>
        <w:t xml:space="preserve">Greek </w:t>
      </w:r>
      <w:r w:rsidRPr="002016C5">
        <w:rPr>
          <w:rFonts w:eastAsia="Calibri" w:cs="Arial"/>
          <w:b/>
          <w:sz w:val="24"/>
          <w:szCs w:val="24"/>
          <w:lang w:val="en-US" w:eastAsia="en-GB"/>
        </w:rPr>
        <w:t xml:space="preserve">Ombudsman, (as the National Torture Preventive Mechanism) of CPT provided some data (see below), but only for the Psychiatric Hospital of Attica (PHA - Dafni). </w:t>
      </w:r>
    </w:p>
    <w:p w:rsidR="002016C5" w:rsidRPr="002016C5" w:rsidRDefault="002016C5" w:rsidP="002016C5">
      <w:pPr>
        <w:autoSpaceDE w:val="0"/>
        <w:autoSpaceDN w:val="0"/>
        <w:adjustRightInd w:val="0"/>
        <w:spacing w:after="0" w:line="240" w:lineRule="auto"/>
        <w:jc w:val="both"/>
        <w:rPr>
          <w:rFonts w:eastAsia="Calibri" w:cs="Arial"/>
          <w:b/>
          <w:sz w:val="24"/>
          <w:szCs w:val="24"/>
          <w:lang w:val="en-US" w:eastAsia="en-GB"/>
        </w:rPr>
      </w:pPr>
      <w:r w:rsidRPr="002016C5">
        <w:rPr>
          <w:rFonts w:eastAsia="Calibri" w:cs="Arial"/>
          <w:sz w:val="24"/>
          <w:szCs w:val="24"/>
          <w:lang w:val="en-US" w:eastAsia="en-GB"/>
        </w:rPr>
        <w:t xml:space="preserve">The </w:t>
      </w:r>
      <w:r w:rsidRPr="002016C5">
        <w:rPr>
          <w:sz w:val="24"/>
          <w:szCs w:val="24"/>
          <w:lang w:val="en-US"/>
        </w:rPr>
        <w:t xml:space="preserve">Committee for Monitoring the Protection of the Rights of People with Mental Disorders (Ministry of Health) has also published many reports regarding restrains in conditions that are dangerous for the patient, but it also refers to cases and not total data/national statistics. </w:t>
      </w:r>
    </w:p>
    <w:p w:rsidR="002016C5" w:rsidRPr="002016C5" w:rsidRDefault="002016C5" w:rsidP="008E03B7">
      <w:pPr>
        <w:autoSpaceDE w:val="0"/>
        <w:autoSpaceDN w:val="0"/>
        <w:adjustRightInd w:val="0"/>
        <w:spacing w:after="0" w:line="240" w:lineRule="auto"/>
        <w:jc w:val="both"/>
        <w:rPr>
          <w:rFonts w:eastAsia="Calibri" w:cs="Arial"/>
          <w:b/>
          <w:i/>
          <w:sz w:val="24"/>
          <w:szCs w:val="24"/>
          <w:lang w:val="en-GB" w:eastAsia="en-GB"/>
        </w:rPr>
      </w:pPr>
    </w:p>
    <w:p w:rsidR="002016C5" w:rsidRPr="002016C5" w:rsidRDefault="002016C5" w:rsidP="008E03B7">
      <w:pPr>
        <w:autoSpaceDE w:val="0"/>
        <w:autoSpaceDN w:val="0"/>
        <w:adjustRightInd w:val="0"/>
        <w:spacing w:after="0" w:line="240" w:lineRule="auto"/>
        <w:jc w:val="both"/>
        <w:rPr>
          <w:rFonts w:eastAsia="Calibri" w:cs="Arial"/>
          <w:b/>
          <w:i/>
          <w:sz w:val="24"/>
          <w:szCs w:val="24"/>
          <w:lang w:val="en-US" w:eastAsia="en-GB"/>
        </w:rPr>
      </w:pPr>
    </w:p>
    <w:p w:rsidR="008E03B7" w:rsidRPr="001755C1" w:rsidRDefault="008E03B7" w:rsidP="008E03B7">
      <w:pPr>
        <w:pStyle w:val="a3"/>
        <w:numPr>
          <w:ilvl w:val="0"/>
          <w:numId w:val="1"/>
        </w:numPr>
        <w:autoSpaceDE w:val="0"/>
        <w:autoSpaceDN w:val="0"/>
        <w:adjustRightInd w:val="0"/>
        <w:spacing w:after="0" w:line="240" w:lineRule="auto"/>
        <w:ind w:left="0"/>
        <w:jc w:val="both"/>
        <w:rPr>
          <w:rFonts w:asciiTheme="minorHAnsi" w:eastAsia="Calibri" w:hAnsiTheme="minorHAnsi" w:cs="Arial"/>
          <w:b/>
          <w:sz w:val="24"/>
          <w:szCs w:val="24"/>
          <w:lang w:val="en-US" w:eastAsia="en-GB"/>
        </w:rPr>
      </w:pPr>
      <w:r w:rsidRPr="001755C1">
        <w:rPr>
          <w:rFonts w:asciiTheme="minorHAnsi" w:eastAsia="Calibri" w:hAnsiTheme="minorHAnsi" w:cs="Arial"/>
          <w:b/>
          <w:sz w:val="24"/>
          <w:szCs w:val="24"/>
          <w:lang w:val="en-US" w:eastAsia="en-GB"/>
        </w:rPr>
        <w:t xml:space="preserve">Greek Ombudsman, (as the National Torture Preventive Mechanism) special report to the CPT  2015, accessible in:  </w:t>
      </w:r>
    </w:p>
    <w:p w:rsidR="008E03B7" w:rsidRPr="001755C1" w:rsidRDefault="008E03B7" w:rsidP="008E03B7">
      <w:pPr>
        <w:spacing w:after="0" w:line="240" w:lineRule="auto"/>
        <w:jc w:val="both"/>
        <w:rPr>
          <w:b/>
          <w:sz w:val="24"/>
          <w:szCs w:val="24"/>
          <w:lang w:val="en-US"/>
        </w:rPr>
      </w:pPr>
      <w:r w:rsidRPr="001755C1">
        <w:rPr>
          <w:rFonts w:eastAsia="Calibri" w:cs="Arial"/>
          <w:b/>
          <w:sz w:val="24"/>
          <w:szCs w:val="24"/>
          <w:lang w:val="en-US" w:eastAsia="en-GB"/>
        </w:rPr>
        <w:t>http://www.ohchr.org/Documents/HRBodies/OPCAT/NPM/NPM2015_Greece.pdf</w:t>
      </w:r>
    </w:p>
    <w:p w:rsidR="008E03B7" w:rsidRPr="008E03B7" w:rsidRDefault="008E03B7" w:rsidP="008E03B7">
      <w:pPr>
        <w:spacing w:after="0" w:line="240" w:lineRule="auto"/>
        <w:jc w:val="both"/>
        <w:rPr>
          <w:b/>
          <w:sz w:val="24"/>
          <w:szCs w:val="24"/>
          <w:lang w:val="en-US"/>
        </w:rPr>
      </w:pPr>
      <w:r w:rsidRPr="008E03B7">
        <w:rPr>
          <w:b/>
          <w:sz w:val="24"/>
          <w:szCs w:val="24"/>
          <w:lang w:val="en-US"/>
        </w:rPr>
        <w:t>p. 7-8</w:t>
      </w:r>
    </w:p>
    <w:p w:rsidR="008E03B7" w:rsidRPr="00474A91" w:rsidRDefault="008E03B7" w:rsidP="008E03B7">
      <w:pPr>
        <w:autoSpaceDE w:val="0"/>
        <w:autoSpaceDN w:val="0"/>
        <w:adjustRightInd w:val="0"/>
        <w:spacing w:after="0" w:line="240" w:lineRule="auto"/>
        <w:jc w:val="both"/>
        <w:rPr>
          <w:rFonts w:eastAsia="Calibri" w:cs="Arial"/>
          <w:b/>
          <w:bCs/>
          <w:sz w:val="24"/>
          <w:szCs w:val="24"/>
          <w:lang w:val="en-US" w:eastAsia="en-GB"/>
        </w:rPr>
      </w:pPr>
      <w:r w:rsidRPr="00474A91">
        <w:rPr>
          <w:rFonts w:eastAsia="Calibri" w:cs="Arial"/>
          <w:b/>
          <w:bCs/>
          <w:sz w:val="24"/>
          <w:szCs w:val="24"/>
          <w:lang w:val="en-US" w:eastAsia="en-GB"/>
        </w:rPr>
        <w:t>"PSYCHIATRIC COMMITMENT</w:t>
      </w:r>
    </w:p>
    <w:p w:rsidR="008E03B7" w:rsidRPr="00474A91" w:rsidRDefault="008E03B7" w:rsidP="008E03B7">
      <w:pPr>
        <w:autoSpaceDE w:val="0"/>
        <w:autoSpaceDN w:val="0"/>
        <w:adjustRightInd w:val="0"/>
        <w:spacing w:after="0" w:line="240" w:lineRule="auto"/>
        <w:jc w:val="both"/>
        <w:rPr>
          <w:rFonts w:eastAsia="Calibri" w:cs="Arial"/>
          <w:b/>
          <w:bCs/>
          <w:sz w:val="24"/>
          <w:szCs w:val="24"/>
          <w:lang w:val="en-US" w:eastAsia="en-GB"/>
        </w:rPr>
      </w:pPr>
      <w:r w:rsidRPr="00474A91">
        <w:rPr>
          <w:rFonts w:eastAsia="Calibri" w:cs="Arial"/>
          <w:b/>
          <w:bCs/>
          <w:sz w:val="24"/>
          <w:szCs w:val="24"/>
          <w:lang w:val="en-US" w:eastAsia="en-GB"/>
        </w:rPr>
        <w:t>Visits - On-site inspections</w:t>
      </w:r>
    </w:p>
    <w:p w:rsidR="008E03B7" w:rsidRPr="00474A91" w:rsidRDefault="008E03B7" w:rsidP="008E03B7">
      <w:pPr>
        <w:autoSpaceDE w:val="0"/>
        <w:autoSpaceDN w:val="0"/>
        <w:adjustRightInd w:val="0"/>
        <w:spacing w:after="0" w:line="240" w:lineRule="auto"/>
        <w:jc w:val="both"/>
        <w:rPr>
          <w:rFonts w:eastAsia="Calibri" w:cs="Arial"/>
          <w:sz w:val="24"/>
          <w:szCs w:val="24"/>
          <w:lang w:val="en-US" w:eastAsia="en-GB"/>
        </w:rPr>
      </w:pPr>
      <w:r w:rsidRPr="00474A91">
        <w:rPr>
          <w:rFonts w:eastAsia="Calibri" w:cs="Arial"/>
          <w:sz w:val="24"/>
          <w:szCs w:val="24"/>
          <w:lang w:val="en-US" w:eastAsia="en-GB"/>
        </w:rPr>
        <w:t xml:space="preserve">On 11 December 2015, the Ombudsman carried out a visit - on-site inspection at the Psychiatric Hospital of Attica (PHA - Dafni), following up on to the Authority's related reports, as well as in the context of the NPM competences. </w:t>
      </w:r>
    </w:p>
    <w:p w:rsidR="008E03B7" w:rsidRDefault="008E03B7" w:rsidP="008E03B7">
      <w:pPr>
        <w:autoSpaceDE w:val="0"/>
        <w:autoSpaceDN w:val="0"/>
        <w:adjustRightInd w:val="0"/>
        <w:spacing w:after="0" w:line="240" w:lineRule="auto"/>
        <w:jc w:val="both"/>
        <w:rPr>
          <w:rFonts w:eastAsia="Calibri" w:cs="Arial"/>
          <w:sz w:val="24"/>
          <w:szCs w:val="24"/>
          <w:lang w:val="en-US" w:eastAsia="en-GB"/>
        </w:rPr>
      </w:pPr>
      <w:r w:rsidRPr="00474A91">
        <w:rPr>
          <w:rFonts w:eastAsia="Calibri" w:cs="Arial"/>
          <w:sz w:val="24"/>
          <w:szCs w:val="24"/>
          <w:lang w:val="en-US" w:eastAsia="en-GB"/>
        </w:rPr>
        <w:t xml:space="preserve">The 6 deaths of patients during 2014-2015 (suicide 19.6.2014, homicide by a restrained patient of another patient restrained on the bed 17.5.2015, arson and death of 3 patients 4.9.2015, involuntary death of a patient who attempted suicide, escaped the hospital grounds and was found dead outside of them 24.9.2015), as well as the repeated reports to the Ombudsman and the Special Committee for the Control and Protection of the Rights of the Mentally-ill of the Ministry of Health for violation of rights of the mentally-ill patients in the PHA demonstrate that the measures taken to manage the crisis are clearly inadequate. </w:t>
      </w:r>
    </w:p>
    <w:p w:rsidR="008E03B7" w:rsidRPr="00474A91" w:rsidRDefault="008E03B7" w:rsidP="008E03B7">
      <w:pPr>
        <w:autoSpaceDE w:val="0"/>
        <w:autoSpaceDN w:val="0"/>
        <w:adjustRightInd w:val="0"/>
        <w:spacing w:after="0" w:line="240" w:lineRule="auto"/>
        <w:jc w:val="both"/>
        <w:rPr>
          <w:rFonts w:eastAsia="Calibri" w:cs="Arial"/>
          <w:sz w:val="24"/>
          <w:szCs w:val="24"/>
          <w:lang w:val="en-US" w:eastAsia="en-GB"/>
        </w:rPr>
      </w:pPr>
    </w:p>
    <w:p w:rsidR="008E03B7" w:rsidRPr="00474A91" w:rsidRDefault="008E03B7" w:rsidP="008E03B7">
      <w:pPr>
        <w:autoSpaceDE w:val="0"/>
        <w:autoSpaceDN w:val="0"/>
        <w:adjustRightInd w:val="0"/>
        <w:spacing w:after="0" w:line="240" w:lineRule="auto"/>
        <w:jc w:val="both"/>
        <w:rPr>
          <w:rFonts w:eastAsia="Calibri" w:cs="Arial"/>
          <w:sz w:val="24"/>
          <w:szCs w:val="24"/>
          <w:lang w:val="en-US" w:eastAsia="en-GB"/>
        </w:rPr>
      </w:pPr>
      <w:r w:rsidRPr="008E03B7">
        <w:rPr>
          <w:rFonts w:eastAsia="Calibri" w:cs="Arial"/>
          <w:sz w:val="24"/>
          <w:szCs w:val="24"/>
          <w:highlight w:val="yellow"/>
          <w:lang w:val="en-US" w:eastAsia="en-GB"/>
        </w:rPr>
        <w:t>The Ombudsman will evaluate the recommendations by the Administration of the PHA and will correspondingly intervene towards the Ministries of Health and Justice, in order for measures to be taken promptly."</w:t>
      </w:r>
    </w:p>
    <w:p w:rsidR="008E03B7" w:rsidRPr="00474A91" w:rsidRDefault="008E03B7" w:rsidP="008E03B7">
      <w:pPr>
        <w:autoSpaceDE w:val="0"/>
        <w:autoSpaceDN w:val="0"/>
        <w:adjustRightInd w:val="0"/>
        <w:spacing w:after="0" w:line="240" w:lineRule="auto"/>
        <w:jc w:val="both"/>
        <w:rPr>
          <w:rFonts w:eastAsia="Calibri" w:cs="Arial"/>
          <w:sz w:val="24"/>
          <w:szCs w:val="24"/>
          <w:lang w:val="en-US" w:eastAsia="en-GB"/>
        </w:rPr>
      </w:pPr>
    </w:p>
    <w:p w:rsidR="008E03B7" w:rsidRPr="00780891" w:rsidRDefault="008E03B7" w:rsidP="008E03B7">
      <w:pPr>
        <w:pStyle w:val="a3"/>
        <w:numPr>
          <w:ilvl w:val="0"/>
          <w:numId w:val="1"/>
        </w:numPr>
        <w:autoSpaceDE w:val="0"/>
        <w:autoSpaceDN w:val="0"/>
        <w:adjustRightInd w:val="0"/>
        <w:spacing w:after="0" w:line="240" w:lineRule="auto"/>
        <w:ind w:left="0"/>
        <w:jc w:val="both"/>
        <w:rPr>
          <w:rFonts w:asciiTheme="minorHAnsi" w:eastAsia="Calibri" w:hAnsiTheme="minorHAnsi" w:cs="Arial"/>
          <w:b/>
          <w:sz w:val="24"/>
          <w:szCs w:val="24"/>
          <w:lang w:val="en-US" w:eastAsia="en-GB"/>
        </w:rPr>
      </w:pPr>
      <w:r w:rsidRPr="00780891">
        <w:rPr>
          <w:rFonts w:asciiTheme="minorHAnsi" w:eastAsia="Calibri" w:hAnsiTheme="minorHAnsi" w:cs="Arial"/>
          <w:b/>
          <w:sz w:val="24"/>
          <w:szCs w:val="24"/>
          <w:lang w:val="en-US" w:eastAsia="en-GB"/>
        </w:rPr>
        <w:t xml:space="preserve">Nils </w:t>
      </w:r>
      <w:proofErr w:type="spellStart"/>
      <w:r w:rsidRPr="00780891">
        <w:rPr>
          <w:rFonts w:asciiTheme="minorHAnsi" w:eastAsia="Calibri" w:hAnsiTheme="minorHAnsi" w:cs="Arial"/>
          <w:b/>
          <w:sz w:val="24"/>
          <w:szCs w:val="24"/>
          <w:lang w:val="en-US" w:eastAsia="en-GB"/>
        </w:rPr>
        <w:t>Muiznieks</w:t>
      </w:r>
      <w:proofErr w:type="spellEnd"/>
      <w:r w:rsidRPr="00780891">
        <w:rPr>
          <w:rFonts w:asciiTheme="minorHAnsi" w:eastAsia="Calibri" w:hAnsiTheme="minorHAnsi" w:cs="Arial"/>
          <w:b/>
          <w:sz w:val="24"/>
          <w:szCs w:val="24"/>
          <w:lang w:val="en-US" w:eastAsia="en-GB"/>
        </w:rPr>
        <w:t xml:space="preserve">,  Commissioner for Human Rights, Ref: </w:t>
      </w:r>
      <w:proofErr w:type="spellStart"/>
      <w:r w:rsidRPr="00780891">
        <w:rPr>
          <w:rFonts w:asciiTheme="minorHAnsi" w:eastAsia="Calibri" w:hAnsiTheme="minorHAnsi" w:cs="Arial"/>
          <w:b/>
          <w:sz w:val="24"/>
          <w:szCs w:val="24"/>
          <w:lang w:val="en-US" w:eastAsia="en-GB"/>
        </w:rPr>
        <w:t>CommHR</w:t>
      </w:r>
      <w:proofErr w:type="spellEnd"/>
      <w:r w:rsidRPr="00780891">
        <w:rPr>
          <w:rFonts w:asciiTheme="minorHAnsi" w:eastAsia="Calibri" w:hAnsiTheme="minorHAnsi" w:cs="Arial"/>
          <w:b/>
          <w:sz w:val="24"/>
          <w:szCs w:val="24"/>
          <w:lang w:val="en-US" w:eastAsia="en-GB"/>
        </w:rPr>
        <w:t xml:space="preserve">/NM/sf 037-2016, Strasbourg , 17 August 2016 Letter to </w:t>
      </w:r>
      <w:proofErr w:type="spellStart"/>
      <w:r w:rsidRPr="00780891">
        <w:rPr>
          <w:rFonts w:asciiTheme="minorHAnsi" w:eastAsia="Calibri" w:hAnsiTheme="minorHAnsi" w:cs="Arial"/>
          <w:b/>
          <w:sz w:val="24"/>
          <w:szCs w:val="24"/>
          <w:lang w:val="en-US" w:eastAsia="en-GB"/>
        </w:rPr>
        <w:t>Mr</w:t>
      </w:r>
      <w:proofErr w:type="spellEnd"/>
      <w:r w:rsidRPr="00780891">
        <w:rPr>
          <w:rFonts w:asciiTheme="minorHAnsi" w:eastAsia="Calibri" w:hAnsiTheme="minorHAnsi" w:cs="Arial"/>
          <w:b/>
          <w:sz w:val="24"/>
          <w:szCs w:val="24"/>
          <w:lang w:val="en-US" w:eastAsia="en-GB"/>
        </w:rPr>
        <w:t xml:space="preserve"> </w:t>
      </w:r>
      <w:proofErr w:type="spellStart"/>
      <w:r w:rsidRPr="00780891">
        <w:rPr>
          <w:rFonts w:asciiTheme="minorHAnsi" w:eastAsia="Calibri" w:hAnsiTheme="minorHAnsi" w:cs="Arial"/>
          <w:b/>
          <w:sz w:val="24"/>
          <w:szCs w:val="24"/>
          <w:lang w:val="en-US" w:eastAsia="en-GB"/>
        </w:rPr>
        <w:t>Xanthos</w:t>
      </w:r>
      <w:proofErr w:type="spellEnd"/>
      <w:r w:rsidRPr="00780891">
        <w:rPr>
          <w:rFonts w:asciiTheme="minorHAnsi" w:eastAsia="Calibri" w:hAnsiTheme="minorHAnsi" w:cs="Arial"/>
          <w:b/>
          <w:sz w:val="24"/>
          <w:szCs w:val="24"/>
          <w:lang w:val="en-US" w:eastAsia="en-GB"/>
        </w:rPr>
        <w:t xml:space="preserve">, Minister of Health and </w:t>
      </w:r>
      <w:proofErr w:type="spellStart"/>
      <w:r w:rsidRPr="00780891">
        <w:rPr>
          <w:rFonts w:asciiTheme="minorHAnsi" w:eastAsia="Calibri" w:hAnsiTheme="minorHAnsi" w:cs="Arial"/>
          <w:b/>
          <w:sz w:val="24"/>
          <w:szCs w:val="24"/>
          <w:lang w:val="en-US" w:eastAsia="en-GB"/>
        </w:rPr>
        <w:t>Ms</w:t>
      </w:r>
      <w:proofErr w:type="spellEnd"/>
      <w:r w:rsidRPr="00780891">
        <w:rPr>
          <w:rFonts w:asciiTheme="minorHAnsi" w:eastAsia="Calibri" w:hAnsiTheme="minorHAnsi" w:cs="Arial"/>
          <w:b/>
          <w:sz w:val="24"/>
          <w:szCs w:val="24"/>
          <w:lang w:val="en-US" w:eastAsia="en-GB"/>
        </w:rPr>
        <w:t xml:space="preserve"> </w:t>
      </w:r>
      <w:proofErr w:type="spellStart"/>
      <w:r w:rsidRPr="00780891">
        <w:rPr>
          <w:rFonts w:asciiTheme="minorHAnsi" w:eastAsia="Calibri" w:hAnsiTheme="minorHAnsi" w:cs="Arial"/>
          <w:b/>
          <w:sz w:val="24"/>
          <w:szCs w:val="24"/>
          <w:lang w:val="en-US" w:eastAsia="en-GB"/>
        </w:rPr>
        <w:t>Fotiou</w:t>
      </w:r>
      <w:proofErr w:type="spellEnd"/>
      <w:r w:rsidRPr="00780891">
        <w:rPr>
          <w:rFonts w:asciiTheme="minorHAnsi" w:eastAsia="Calibri" w:hAnsiTheme="minorHAnsi" w:cs="Arial"/>
          <w:b/>
          <w:sz w:val="24"/>
          <w:szCs w:val="24"/>
          <w:lang w:val="en-US" w:eastAsia="en-GB"/>
        </w:rPr>
        <w:t>, Alternate Minister of Social Solidarity of Greece</w:t>
      </w:r>
    </w:p>
    <w:p w:rsidR="008E03B7" w:rsidRPr="00780891" w:rsidRDefault="008E03B7" w:rsidP="008E03B7">
      <w:pPr>
        <w:spacing w:after="0" w:line="240" w:lineRule="auto"/>
        <w:jc w:val="both"/>
        <w:rPr>
          <w:rFonts w:eastAsia="Calibri" w:cs="Arial"/>
          <w:sz w:val="24"/>
          <w:szCs w:val="24"/>
          <w:lang w:val="en-US" w:eastAsia="en-GB"/>
        </w:rPr>
      </w:pPr>
      <w:r w:rsidRPr="00780891">
        <w:rPr>
          <w:rFonts w:eastAsia="Calibri" w:cs="Arial"/>
          <w:sz w:val="24"/>
          <w:szCs w:val="24"/>
          <w:lang w:val="en-US" w:eastAsia="en-GB"/>
        </w:rPr>
        <w:t xml:space="preserve">Accessible in: </w:t>
      </w:r>
    </w:p>
    <w:p w:rsidR="008E03B7" w:rsidRPr="00780891" w:rsidRDefault="008E03B7" w:rsidP="008E03B7">
      <w:pPr>
        <w:spacing w:after="0" w:line="240" w:lineRule="auto"/>
        <w:jc w:val="both"/>
        <w:rPr>
          <w:rFonts w:eastAsia="Calibri" w:cs="Arial"/>
          <w:sz w:val="24"/>
          <w:szCs w:val="24"/>
          <w:lang w:val="en-US" w:eastAsia="en-GB"/>
        </w:rPr>
      </w:pPr>
      <w:r w:rsidRPr="00780891">
        <w:rPr>
          <w:rFonts w:eastAsia="Calibri" w:cs="Arial"/>
          <w:sz w:val="24"/>
          <w:szCs w:val="24"/>
          <w:lang w:val="en-US" w:eastAsia="en-GB"/>
        </w:rPr>
        <w:t>http://www.smg-pratiques.info/sites/www.smg-pratiques.info/IMG/pdf/letter_council_of_europe_commissioner_human_rights_nils_muiznieks_andreas_xanthos_17-08-16.pdf</w:t>
      </w:r>
    </w:p>
    <w:p w:rsidR="008E03B7" w:rsidRPr="00474A91" w:rsidRDefault="008E03B7" w:rsidP="008E03B7">
      <w:pPr>
        <w:autoSpaceDE w:val="0"/>
        <w:autoSpaceDN w:val="0"/>
        <w:adjustRightInd w:val="0"/>
        <w:spacing w:after="0" w:line="240" w:lineRule="auto"/>
        <w:jc w:val="both"/>
        <w:rPr>
          <w:rFonts w:eastAsia="Calibri" w:cs="Arial"/>
          <w:sz w:val="24"/>
          <w:szCs w:val="24"/>
          <w:lang w:val="en-US" w:eastAsia="en-GB"/>
        </w:rPr>
      </w:pPr>
    </w:p>
    <w:p w:rsidR="008E03B7" w:rsidRPr="00474A91" w:rsidRDefault="008E03B7" w:rsidP="008E03B7">
      <w:pPr>
        <w:autoSpaceDE w:val="0"/>
        <w:autoSpaceDN w:val="0"/>
        <w:adjustRightInd w:val="0"/>
        <w:spacing w:after="0" w:line="240" w:lineRule="auto"/>
        <w:jc w:val="both"/>
        <w:rPr>
          <w:rFonts w:eastAsia="Calibri" w:cs="Arial"/>
          <w:sz w:val="24"/>
          <w:szCs w:val="24"/>
          <w:lang w:val="en-US" w:eastAsia="en-GB"/>
        </w:rPr>
      </w:pPr>
      <w:r w:rsidRPr="00474A91">
        <w:rPr>
          <w:rFonts w:eastAsia="Calibri" w:cs="Arial"/>
          <w:sz w:val="24"/>
          <w:szCs w:val="24"/>
          <w:lang w:val="en-US" w:eastAsia="en-GB"/>
        </w:rPr>
        <w:t>"</w:t>
      </w:r>
      <w:r>
        <w:rPr>
          <w:rFonts w:eastAsia="Calibri" w:cs="Arial"/>
          <w:sz w:val="24"/>
          <w:szCs w:val="24"/>
          <w:lang w:val="en-US" w:eastAsia="en-GB"/>
        </w:rPr>
        <w:t>[…]]</w:t>
      </w:r>
      <w:r w:rsidRPr="00474A91">
        <w:rPr>
          <w:rFonts w:eastAsia="Calibri" w:cs="Arial"/>
          <w:sz w:val="24"/>
          <w:szCs w:val="24"/>
          <w:lang w:val="en-US" w:eastAsia="en-GB"/>
        </w:rPr>
        <w:t>During my visit to PHA on 5 July I was informed by the hospital's administration and staff members of the particularly strenuous conditions in which they work, especially since the start of the financial crisis. Indeed, the very high increase of health care demand in Greece, which reportedly reached 120% during 2011-</w:t>
      </w:r>
      <w:proofErr w:type="gramStart"/>
      <w:r w:rsidRPr="00474A91">
        <w:rPr>
          <w:rFonts w:eastAsia="Calibri" w:cs="Arial"/>
          <w:sz w:val="24"/>
          <w:szCs w:val="24"/>
          <w:lang w:val="en-US" w:eastAsia="en-GB"/>
        </w:rPr>
        <w:t>2013 ,</w:t>
      </w:r>
      <w:proofErr w:type="gramEnd"/>
      <w:r w:rsidRPr="00474A91">
        <w:rPr>
          <w:rFonts w:eastAsia="Calibri" w:cs="Arial"/>
          <w:sz w:val="24"/>
          <w:szCs w:val="24"/>
          <w:lang w:val="en-US" w:eastAsia="en-GB"/>
        </w:rPr>
        <w:t xml:space="preserve"> has been accompanied by a sharp decrease of health care expenditure and of </w:t>
      </w:r>
      <w:proofErr w:type="spellStart"/>
      <w:r w:rsidRPr="00474A91">
        <w:rPr>
          <w:rFonts w:eastAsia="Calibri" w:cs="Arial"/>
          <w:sz w:val="24"/>
          <w:szCs w:val="24"/>
          <w:lang w:val="en-US" w:eastAsia="en-GB"/>
        </w:rPr>
        <w:lastRenderedPageBreak/>
        <w:t>specialised</w:t>
      </w:r>
      <w:proofErr w:type="spellEnd"/>
      <w:r w:rsidRPr="00474A91">
        <w:rPr>
          <w:rFonts w:eastAsia="Calibri" w:cs="Arial"/>
          <w:sz w:val="24"/>
          <w:szCs w:val="24"/>
          <w:lang w:val="en-US" w:eastAsia="en-GB"/>
        </w:rPr>
        <w:t xml:space="preserve"> staff, due to the austerity measures that the successive governments have been obliged to adopt. When in PHA I was in fact informed that the number of nurses there has been reduced by one third. Such situations lead inadvertently to an increased burnout of healthcare professionals and precipitate their departure from the country (reportedly around 17 000 physicians have emigrated).</w:t>
      </w:r>
    </w:p>
    <w:p w:rsidR="008E03B7" w:rsidRDefault="008E03B7" w:rsidP="008E03B7">
      <w:pPr>
        <w:autoSpaceDE w:val="0"/>
        <w:autoSpaceDN w:val="0"/>
        <w:adjustRightInd w:val="0"/>
        <w:spacing w:after="0" w:line="240" w:lineRule="auto"/>
        <w:jc w:val="both"/>
        <w:rPr>
          <w:rFonts w:eastAsia="Calibri" w:cs="Arial"/>
          <w:b/>
          <w:sz w:val="24"/>
          <w:szCs w:val="24"/>
          <w:lang w:val="en-US" w:eastAsia="en-GB"/>
        </w:rPr>
      </w:pPr>
      <w:r w:rsidRPr="00EB7F4B">
        <w:rPr>
          <w:rFonts w:eastAsia="Calibri" w:cs="Arial"/>
          <w:b/>
          <w:sz w:val="24"/>
          <w:szCs w:val="24"/>
          <w:highlight w:val="yellow"/>
          <w:lang w:val="en-US" w:eastAsia="en-GB"/>
        </w:rPr>
        <w:t xml:space="preserve">This has also led to an extensive use of medical restraints and sedatives, as well as to instances of patients' ill-treatment in the remaining psychiatric institutions. In his aforementioned 2015 report, the Greek Ombudsman noted that one of the deaths in PHA concerned a restrained patient while in another mental health facility in </w:t>
      </w:r>
      <w:proofErr w:type="spellStart"/>
      <w:r w:rsidRPr="00EB7F4B">
        <w:rPr>
          <w:rFonts w:eastAsia="Calibri" w:cs="Arial"/>
          <w:b/>
          <w:sz w:val="24"/>
          <w:szCs w:val="24"/>
          <w:highlight w:val="yellow"/>
          <w:lang w:val="en-US" w:eastAsia="en-GB"/>
        </w:rPr>
        <w:t>Lechaina</w:t>
      </w:r>
      <w:proofErr w:type="spellEnd"/>
      <w:r w:rsidRPr="00EB7F4B">
        <w:rPr>
          <w:rFonts w:eastAsia="Calibri" w:cs="Arial"/>
          <w:b/>
          <w:sz w:val="24"/>
          <w:szCs w:val="24"/>
          <w:highlight w:val="yellow"/>
          <w:lang w:val="en-US" w:eastAsia="en-GB"/>
        </w:rPr>
        <w:t xml:space="preserve">, a town in NW Peloponnese, which was visited by the </w:t>
      </w:r>
      <w:proofErr w:type="gramStart"/>
      <w:r w:rsidRPr="00EB7F4B">
        <w:rPr>
          <w:rFonts w:eastAsia="Calibri" w:cs="Arial"/>
          <w:b/>
          <w:sz w:val="24"/>
          <w:szCs w:val="24"/>
          <w:highlight w:val="yellow"/>
          <w:lang w:val="en-US" w:eastAsia="en-GB"/>
        </w:rPr>
        <w:t>Ombudsman ,</w:t>
      </w:r>
      <w:proofErr w:type="gramEnd"/>
      <w:r w:rsidRPr="00EB7F4B">
        <w:rPr>
          <w:rFonts w:eastAsia="Calibri" w:cs="Arial"/>
          <w:b/>
          <w:sz w:val="24"/>
          <w:szCs w:val="24"/>
          <w:highlight w:val="yellow"/>
          <w:lang w:val="en-US" w:eastAsia="en-GB"/>
        </w:rPr>
        <w:t xml:space="preserve"> a number of inmates had been constantly restrained and kept inside cages".</w:t>
      </w:r>
      <w:r w:rsidRPr="00EB7F4B">
        <w:rPr>
          <w:rFonts w:eastAsia="Calibri" w:cs="Arial"/>
          <w:b/>
          <w:sz w:val="24"/>
          <w:szCs w:val="24"/>
          <w:lang w:val="en-US" w:eastAsia="en-GB"/>
        </w:rPr>
        <w:t xml:space="preserve"> </w:t>
      </w:r>
    </w:p>
    <w:p w:rsidR="008E03B7" w:rsidRPr="00EB7F4B" w:rsidRDefault="008E03B7" w:rsidP="008E03B7">
      <w:pPr>
        <w:autoSpaceDE w:val="0"/>
        <w:autoSpaceDN w:val="0"/>
        <w:adjustRightInd w:val="0"/>
        <w:spacing w:after="0" w:line="240" w:lineRule="auto"/>
        <w:jc w:val="both"/>
        <w:rPr>
          <w:rFonts w:eastAsia="Calibri" w:cs="Arial"/>
          <w:b/>
          <w:sz w:val="24"/>
          <w:szCs w:val="24"/>
          <w:lang w:val="en-US" w:eastAsia="en-GB"/>
        </w:rPr>
      </w:pPr>
    </w:p>
    <w:p w:rsidR="008E03B7" w:rsidRDefault="008E03B7" w:rsidP="008E03B7">
      <w:pPr>
        <w:autoSpaceDE w:val="0"/>
        <w:autoSpaceDN w:val="0"/>
        <w:adjustRightInd w:val="0"/>
        <w:spacing w:after="0" w:line="240" w:lineRule="auto"/>
        <w:jc w:val="both"/>
        <w:rPr>
          <w:rFonts w:eastAsia="Calibri" w:cs="Arial"/>
          <w:sz w:val="24"/>
          <w:szCs w:val="24"/>
          <w:lang w:val="en-US" w:eastAsia="en-GB"/>
        </w:rPr>
      </w:pPr>
    </w:p>
    <w:p w:rsidR="008E03B7" w:rsidRPr="008E03B7" w:rsidRDefault="008E03B7" w:rsidP="008E03B7">
      <w:pPr>
        <w:autoSpaceDE w:val="0"/>
        <w:autoSpaceDN w:val="0"/>
        <w:adjustRightInd w:val="0"/>
        <w:spacing w:after="0" w:line="240" w:lineRule="auto"/>
        <w:jc w:val="both"/>
        <w:rPr>
          <w:rFonts w:eastAsia="Calibri" w:cs="Arial"/>
          <w:b/>
          <w:sz w:val="24"/>
          <w:szCs w:val="24"/>
          <w:lang w:val="en-US" w:eastAsia="en-GB"/>
        </w:rPr>
      </w:pPr>
      <w:r w:rsidRPr="008E03B7">
        <w:rPr>
          <w:rFonts w:eastAsia="Calibri" w:cs="Arial"/>
          <w:b/>
          <w:sz w:val="24"/>
          <w:szCs w:val="24"/>
          <w:lang w:val="en-US" w:eastAsia="en-GB"/>
        </w:rPr>
        <w:t>INSTITUTIONAL DEVELOPMENTS THAT SUPPORT THE EFFORT TOWARDS THE ELIMINATION OF COERCION, RESTRAINTS AND SECLUSION</w:t>
      </w:r>
    </w:p>
    <w:p w:rsidR="008E03B7" w:rsidRDefault="008E03B7" w:rsidP="008E03B7">
      <w:pPr>
        <w:autoSpaceDE w:val="0"/>
        <w:autoSpaceDN w:val="0"/>
        <w:adjustRightInd w:val="0"/>
        <w:spacing w:after="0" w:line="240" w:lineRule="auto"/>
        <w:jc w:val="both"/>
        <w:rPr>
          <w:rFonts w:eastAsia="Calibri" w:cs="Arial"/>
          <w:sz w:val="24"/>
          <w:szCs w:val="24"/>
          <w:lang w:val="en-US" w:eastAsia="en-GB"/>
        </w:rPr>
      </w:pPr>
    </w:p>
    <w:p w:rsidR="008E03B7" w:rsidRPr="002016C5" w:rsidRDefault="008E03B7" w:rsidP="002016C5">
      <w:pPr>
        <w:pStyle w:val="a3"/>
        <w:numPr>
          <w:ilvl w:val="0"/>
          <w:numId w:val="1"/>
        </w:numPr>
        <w:autoSpaceDE w:val="0"/>
        <w:autoSpaceDN w:val="0"/>
        <w:adjustRightInd w:val="0"/>
        <w:spacing w:after="0" w:line="240" w:lineRule="auto"/>
        <w:ind w:left="0"/>
        <w:jc w:val="both"/>
        <w:rPr>
          <w:rFonts w:asciiTheme="minorHAnsi" w:eastAsia="Calibri" w:hAnsiTheme="minorHAnsi" w:cs="Arial"/>
          <w:i/>
          <w:sz w:val="24"/>
          <w:szCs w:val="24"/>
          <w:lang w:val="en-US" w:eastAsia="en-GB"/>
        </w:rPr>
      </w:pPr>
      <w:r w:rsidRPr="00EB7F4B">
        <w:rPr>
          <w:rFonts w:asciiTheme="minorHAnsi" w:eastAsia="Calibri" w:hAnsiTheme="minorHAnsi" w:cs="Arial"/>
          <w:b/>
          <w:i/>
          <w:sz w:val="24"/>
          <w:szCs w:val="24"/>
          <w:lang w:val="en-US" w:eastAsia="en-GB"/>
        </w:rPr>
        <w:t>"</w:t>
      </w:r>
      <w:r w:rsidRPr="003B036B">
        <w:rPr>
          <w:rFonts w:asciiTheme="minorHAnsi" w:eastAsia="Calibri" w:hAnsiTheme="minorHAnsi" w:cs="Arial"/>
          <w:b/>
          <w:i/>
          <w:sz w:val="24"/>
          <w:szCs w:val="24"/>
          <w:lang w:val="en-US" w:eastAsia="en-GB"/>
        </w:rPr>
        <w:t xml:space="preserve">Greece ratified the Optional Protocol </w:t>
      </w:r>
      <w:r w:rsidRPr="003B036B">
        <w:rPr>
          <w:rFonts w:asciiTheme="minorHAnsi" w:eastAsia="Calibri" w:hAnsiTheme="minorHAnsi" w:cs="Arial"/>
          <w:i/>
          <w:sz w:val="24"/>
          <w:szCs w:val="24"/>
          <w:lang w:val="en-US" w:eastAsia="en-GB"/>
        </w:rPr>
        <w:t xml:space="preserve">to the Convention against Torture and Other Cruel, Inhuman or Degrading Treatment or Punishment (OPCAT) (adopted by the General Assembly of the United Nations in 2002) </w:t>
      </w:r>
      <w:r w:rsidRPr="003B036B">
        <w:rPr>
          <w:rFonts w:asciiTheme="minorHAnsi" w:eastAsia="Calibri" w:hAnsiTheme="minorHAnsi" w:cs="Arial"/>
          <w:b/>
          <w:i/>
          <w:sz w:val="24"/>
          <w:szCs w:val="24"/>
          <w:lang w:val="en-US" w:eastAsia="en-GB"/>
        </w:rPr>
        <w:t>with Law 4228/2014, transposing this Convention into national law with increased formal power</w:t>
      </w:r>
      <w:r w:rsidRPr="003B036B">
        <w:rPr>
          <w:rFonts w:asciiTheme="minorHAnsi" w:eastAsia="Calibri" w:hAnsiTheme="minorHAnsi" w:cs="Arial"/>
          <w:i/>
          <w:sz w:val="24"/>
          <w:szCs w:val="24"/>
          <w:lang w:val="en-US" w:eastAsia="en-GB"/>
        </w:rPr>
        <w:t>. Article 2 of the above-mentioned Law nominated the Greek Ombudsman as the “National Preventive Mechanism against Torture".</w:t>
      </w:r>
    </w:p>
    <w:p w:rsidR="008A7327" w:rsidRPr="008A7327" w:rsidRDefault="008E03B7" w:rsidP="002016C5">
      <w:pPr>
        <w:pStyle w:val="a3"/>
        <w:numPr>
          <w:ilvl w:val="0"/>
          <w:numId w:val="1"/>
        </w:numPr>
        <w:autoSpaceDE w:val="0"/>
        <w:autoSpaceDN w:val="0"/>
        <w:adjustRightInd w:val="0"/>
        <w:spacing w:after="0" w:line="240" w:lineRule="auto"/>
        <w:ind w:left="0"/>
        <w:jc w:val="both"/>
        <w:rPr>
          <w:rFonts w:asciiTheme="minorHAnsi" w:hAnsiTheme="minorHAnsi"/>
          <w:i/>
          <w:sz w:val="24"/>
          <w:szCs w:val="24"/>
          <w:lang w:val="en-US"/>
        </w:rPr>
      </w:pPr>
      <w:r w:rsidRPr="003B036B">
        <w:rPr>
          <w:rFonts w:asciiTheme="minorHAnsi" w:eastAsia="Calibri" w:hAnsiTheme="minorHAnsi" w:cs="Tahoma"/>
          <w:i/>
          <w:color w:val="000000"/>
          <w:sz w:val="24"/>
          <w:szCs w:val="24"/>
          <w:lang w:val="en-US" w:eastAsia="en-GB"/>
        </w:rPr>
        <w:t>In addition, the</w:t>
      </w:r>
      <w:r w:rsidRPr="003B036B">
        <w:rPr>
          <w:rFonts w:asciiTheme="minorHAnsi" w:eastAsia="Calibri" w:hAnsiTheme="minorHAnsi" w:cs="Tahoma"/>
          <w:b/>
          <w:i/>
          <w:color w:val="000000"/>
          <w:sz w:val="24"/>
          <w:szCs w:val="24"/>
          <w:lang w:val="en-US" w:eastAsia="en-GB"/>
        </w:rPr>
        <w:t xml:space="preserve"> </w:t>
      </w:r>
      <w:r w:rsidRPr="003B036B">
        <w:rPr>
          <w:rFonts w:asciiTheme="minorHAnsi" w:hAnsiTheme="minorHAnsi"/>
          <w:b/>
          <w:i/>
          <w:sz w:val="24"/>
          <w:szCs w:val="24"/>
        </w:rPr>
        <w:t>Special Committee for Monitoring the Protection of the Rights of Persons with Mental Disorders (Ministry of Health)</w:t>
      </w:r>
      <w:r w:rsidRPr="003B036B">
        <w:rPr>
          <w:rFonts w:asciiTheme="minorHAnsi" w:hAnsiTheme="minorHAnsi"/>
          <w:i/>
          <w:sz w:val="24"/>
          <w:szCs w:val="24"/>
        </w:rPr>
        <w:t xml:space="preserve"> has published the relevant  Protocol (2008) - Decision of the Central Health Council (</w:t>
      </w:r>
      <w:r w:rsidRPr="003B036B">
        <w:rPr>
          <w:rFonts w:asciiTheme="minorHAnsi" w:hAnsiTheme="minorHAnsi"/>
          <w:i/>
          <w:sz w:val="24"/>
          <w:szCs w:val="24"/>
          <w:lang w:val="el-GR"/>
        </w:rPr>
        <w:t>ΚΕΣΥ</w:t>
      </w:r>
      <w:r w:rsidRPr="003B036B">
        <w:rPr>
          <w:rFonts w:asciiTheme="minorHAnsi" w:hAnsiTheme="minorHAnsi"/>
          <w:i/>
          <w:sz w:val="24"/>
          <w:szCs w:val="24"/>
          <w:lang w:val="en-US"/>
        </w:rPr>
        <w:t xml:space="preserve">) </w:t>
      </w:r>
      <w:r w:rsidRPr="003B036B">
        <w:rPr>
          <w:rFonts w:asciiTheme="minorHAnsi" w:hAnsiTheme="minorHAnsi"/>
          <w:i/>
          <w:sz w:val="24"/>
          <w:szCs w:val="24"/>
        </w:rPr>
        <w:t>13.11.2008</w:t>
      </w:r>
    </w:p>
    <w:p w:rsidR="008E03B7" w:rsidRPr="002016C5" w:rsidRDefault="008E03B7" w:rsidP="002016C5">
      <w:pPr>
        <w:pStyle w:val="a3"/>
        <w:numPr>
          <w:ilvl w:val="0"/>
          <w:numId w:val="1"/>
        </w:numPr>
        <w:autoSpaceDE w:val="0"/>
        <w:autoSpaceDN w:val="0"/>
        <w:adjustRightInd w:val="0"/>
        <w:spacing w:after="0" w:line="240" w:lineRule="auto"/>
        <w:ind w:left="0"/>
        <w:jc w:val="both"/>
        <w:rPr>
          <w:rFonts w:asciiTheme="minorHAnsi" w:hAnsiTheme="minorHAnsi"/>
          <w:sz w:val="24"/>
          <w:szCs w:val="24"/>
          <w:lang w:val="en-US"/>
        </w:rPr>
      </w:pPr>
      <w:r w:rsidRPr="008A7327">
        <w:rPr>
          <w:rFonts w:asciiTheme="minorHAnsi" w:hAnsiTheme="minorHAnsi"/>
          <w:sz w:val="24"/>
          <w:szCs w:val="24"/>
        </w:rPr>
        <w:t xml:space="preserve"> </w:t>
      </w:r>
      <w:r w:rsidR="008A7327" w:rsidRPr="008A7327">
        <w:rPr>
          <w:rFonts w:asciiTheme="minorHAnsi" w:eastAsia="Calibri" w:hAnsiTheme="minorHAnsi" w:cs="Arial"/>
          <w:sz w:val="24"/>
          <w:szCs w:val="24"/>
          <w:highlight w:val="yellow"/>
          <w:lang w:val="en-US" w:eastAsia="en-GB"/>
        </w:rPr>
        <w:t xml:space="preserve">The </w:t>
      </w:r>
      <w:r w:rsidR="008A7327" w:rsidRPr="008A7327">
        <w:rPr>
          <w:rFonts w:asciiTheme="minorHAnsi" w:hAnsiTheme="minorHAnsi"/>
          <w:sz w:val="24"/>
          <w:szCs w:val="24"/>
          <w:highlight w:val="yellow"/>
          <w:lang w:val="en-US"/>
        </w:rPr>
        <w:t>Committee for Monitoring the Protection of the Rights of People with Mental Disorders (Ministry of Health) has also published many reports regarding restrains in conditions that are dangerous for the patient</w:t>
      </w:r>
    </w:p>
    <w:p w:rsidR="008E03B7" w:rsidRPr="002016C5" w:rsidRDefault="008E03B7" w:rsidP="002016C5">
      <w:pPr>
        <w:pStyle w:val="a3"/>
        <w:numPr>
          <w:ilvl w:val="0"/>
          <w:numId w:val="1"/>
        </w:numPr>
        <w:autoSpaceDE w:val="0"/>
        <w:autoSpaceDN w:val="0"/>
        <w:adjustRightInd w:val="0"/>
        <w:spacing w:after="0" w:line="240" w:lineRule="auto"/>
        <w:ind w:left="0"/>
        <w:jc w:val="both"/>
        <w:rPr>
          <w:rFonts w:eastAsia="Calibri" w:cs="Arial"/>
          <w:b/>
          <w:sz w:val="24"/>
          <w:szCs w:val="24"/>
          <w:lang w:val="en-US" w:eastAsia="en-GB"/>
        </w:rPr>
      </w:pPr>
      <w:r w:rsidRPr="008E03B7">
        <w:rPr>
          <w:rFonts w:eastAsia="Calibri" w:cs="Arial"/>
          <w:sz w:val="24"/>
          <w:szCs w:val="24"/>
          <w:lang w:val="en-US" w:eastAsia="en-GB"/>
        </w:rPr>
        <w:t>"The Greek Ombudsman has been already informed that closing down of KEP</w:t>
      </w:r>
      <w:r>
        <w:rPr>
          <w:rFonts w:eastAsia="Calibri" w:cs="Arial"/>
          <w:sz w:val="24"/>
          <w:szCs w:val="24"/>
          <w:lang w:val="en-US" w:eastAsia="en-GB"/>
        </w:rPr>
        <w:t>EP LECHAINON</w:t>
      </w:r>
      <w:r w:rsidRPr="008E03B7">
        <w:rPr>
          <w:rFonts w:eastAsia="Calibri" w:cs="Arial"/>
          <w:sz w:val="24"/>
          <w:szCs w:val="24"/>
          <w:lang w:val="en-US" w:eastAsia="en-GB"/>
        </w:rPr>
        <w:t xml:space="preserve"> institution and the rehabilitation of children and adults in other units have already been </w:t>
      </w:r>
      <w:proofErr w:type="gramStart"/>
      <w:r w:rsidRPr="008E03B7">
        <w:rPr>
          <w:rFonts w:eastAsia="Calibri" w:cs="Arial"/>
          <w:sz w:val="24"/>
          <w:szCs w:val="24"/>
          <w:lang w:val="en-US" w:eastAsia="en-GB"/>
        </w:rPr>
        <w:t>initiated[</w:t>
      </w:r>
      <w:proofErr w:type="gramEnd"/>
      <w:r w:rsidRPr="008E03B7">
        <w:rPr>
          <w:rFonts w:eastAsia="Calibri" w:cs="Arial"/>
          <w:sz w:val="24"/>
          <w:szCs w:val="24"/>
          <w:lang w:val="en-US" w:eastAsia="en-GB"/>
        </w:rPr>
        <w:t>…] However, before the final closing down a comprehensive assessment of each inmate should be done as a first and necessary step for deinstitutionalization". (</w:t>
      </w:r>
      <w:r w:rsidRPr="008E03B7">
        <w:rPr>
          <w:rFonts w:eastAsia="Calibri" w:cs="Arial"/>
          <w:b/>
          <w:sz w:val="24"/>
          <w:szCs w:val="24"/>
          <w:lang w:val="en-US" w:eastAsia="en-GB"/>
        </w:rPr>
        <w:t>Greek Ombudsman, special report to the CPT,  2016)</w:t>
      </w:r>
    </w:p>
    <w:p w:rsidR="008A7327" w:rsidRPr="006370D8" w:rsidRDefault="008A7327" w:rsidP="002016C5">
      <w:pPr>
        <w:pStyle w:val="a3"/>
        <w:numPr>
          <w:ilvl w:val="0"/>
          <w:numId w:val="1"/>
        </w:numPr>
        <w:autoSpaceDE w:val="0"/>
        <w:autoSpaceDN w:val="0"/>
        <w:adjustRightInd w:val="0"/>
        <w:spacing w:after="0" w:line="240" w:lineRule="auto"/>
        <w:ind w:left="0"/>
        <w:jc w:val="both"/>
        <w:rPr>
          <w:rFonts w:asciiTheme="minorHAnsi" w:eastAsia="Calibri" w:hAnsiTheme="minorHAnsi" w:cs="Tahoma"/>
          <w:i/>
          <w:color w:val="000000"/>
          <w:sz w:val="24"/>
          <w:szCs w:val="24"/>
          <w:lang w:val="en-US" w:eastAsia="en-GB"/>
        </w:rPr>
      </w:pPr>
      <w:r w:rsidRPr="006370D8">
        <w:rPr>
          <w:rFonts w:asciiTheme="minorHAnsi" w:eastAsia="Calibri" w:hAnsiTheme="minorHAnsi" w:cs="Tahoma"/>
          <w:i/>
          <w:color w:val="000000"/>
          <w:sz w:val="24"/>
          <w:szCs w:val="24"/>
          <w:lang w:val="en-US" w:eastAsia="en-GB"/>
        </w:rPr>
        <w:t>New Law for Reform of the Administrative Organization of Mental Health Services  4461/2017 (20-3-2017) aiming to devolve mental health care to the regions and to better organize the representation and consultation with psychiatry staff members, patients and families. An additional important provision of this Law is the function in every Regional Administration of Mental Health Sectors of a 7-member Committee for Monitoring the Protection of The Rights of Mental Health Services' Users. (Ministry of Health)</w:t>
      </w:r>
    </w:p>
    <w:p w:rsidR="006370D8" w:rsidRPr="002016C5" w:rsidRDefault="008A7327" w:rsidP="002016C5">
      <w:pPr>
        <w:pStyle w:val="a3"/>
        <w:numPr>
          <w:ilvl w:val="0"/>
          <w:numId w:val="1"/>
        </w:numPr>
        <w:autoSpaceDE w:val="0"/>
        <w:autoSpaceDN w:val="0"/>
        <w:adjustRightInd w:val="0"/>
        <w:spacing w:after="0" w:line="240" w:lineRule="auto"/>
        <w:ind w:left="0"/>
        <w:jc w:val="both"/>
        <w:rPr>
          <w:rFonts w:asciiTheme="minorHAnsi" w:eastAsia="Calibri" w:hAnsiTheme="minorHAnsi" w:cs="Tahoma"/>
          <w:i/>
          <w:color w:val="000000"/>
          <w:sz w:val="24"/>
          <w:szCs w:val="24"/>
          <w:lang w:val="en-US" w:eastAsia="en-GB"/>
        </w:rPr>
      </w:pPr>
      <w:r w:rsidRPr="006370D8">
        <w:rPr>
          <w:rFonts w:asciiTheme="minorHAnsi" w:eastAsia="Calibri" w:hAnsiTheme="minorHAnsi" w:cs="Tahoma"/>
          <w:i/>
          <w:color w:val="000000"/>
          <w:sz w:val="24"/>
          <w:szCs w:val="24"/>
          <w:lang w:val="en-US" w:eastAsia="en-GB"/>
        </w:rPr>
        <w:t>(Government Gazette 225 / 16.05.2017) the decision of the Minister of Health and the Secretary General of the Ministry of Health under the decision A1β / Γ.Π</w:t>
      </w:r>
      <w:proofErr w:type="gramStart"/>
      <w:r w:rsidRPr="006370D8">
        <w:rPr>
          <w:rFonts w:asciiTheme="minorHAnsi" w:eastAsia="Calibri" w:hAnsiTheme="minorHAnsi" w:cs="Tahoma"/>
          <w:i/>
          <w:color w:val="000000"/>
          <w:sz w:val="24"/>
          <w:szCs w:val="24"/>
          <w:lang w:val="en-US" w:eastAsia="en-GB"/>
        </w:rPr>
        <w:t>..</w:t>
      </w:r>
      <w:proofErr w:type="gramEnd"/>
      <w:r w:rsidRPr="006370D8">
        <w:rPr>
          <w:rFonts w:asciiTheme="minorHAnsi" w:eastAsia="Calibri" w:hAnsiTheme="minorHAnsi" w:cs="Tahoma"/>
          <w:i/>
          <w:color w:val="000000"/>
          <w:sz w:val="24"/>
          <w:szCs w:val="24"/>
          <w:lang w:val="en-US" w:eastAsia="en-GB"/>
        </w:rPr>
        <w:t xml:space="preserve">31142 / 9-05-2017. Establishment of the Working Group (and appointment of </w:t>
      </w:r>
      <w:proofErr w:type="gramStart"/>
      <w:r w:rsidRPr="006370D8">
        <w:rPr>
          <w:rFonts w:asciiTheme="minorHAnsi" w:eastAsia="Calibri" w:hAnsiTheme="minorHAnsi" w:cs="Tahoma"/>
          <w:i/>
          <w:color w:val="000000"/>
          <w:sz w:val="24"/>
          <w:szCs w:val="24"/>
          <w:lang w:val="en-US" w:eastAsia="en-GB"/>
        </w:rPr>
        <w:t>the  members</w:t>
      </w:r>
      <w:proofErr w:type="gramEnd"/>
      <w:r w:rsidRPr="006370D8">
        <w:rPr>
          <w:rFonts w:asciiTheme="minorHAnsi" w:eastAsia="Calibri" w:hAnsiTheme="minorHAnsi" w:cs="Tahoma"/>
          <w:i/>
          <w:color w:val="000000"/>
          <w:sz w:val="24"/>
          <w:szCs w:val="24"/>
          <w:lang w:val="en-US" w:eastAsia="en-GB"/>
        </w:rPr>
        <w:t xml:space="preserve">)  in order to update the institutional framework for involuntary hospitalization/forced placement. </w:t>
      </w:r>
    </w:p>
    <w:p w:rsidR="006370D8" w:rsidRPr="006370D8" w:rsidRDefault="006370D8" w:rsidP="006370D8">
      <w:pPr>
        <w:autoSpaceDE w:val="0"/>
        <w:autoSpaceDN w:val="0"/>
        <w:adjustRightInd w:val="0"/>
        <w:spacing w:after="0" w:line="240" w:lineRule="auto"/>
        <w:jc w:val="both"/>
        <w:rPr>
          <w:rFonts w:eastAsia="Calibri" w:cs="Tahoma"/>
          <w:i/>
          <w:color w:val="000000"/>
          <w:sz w:val="24"/>
          <w:szCs w:val="24"/>
          <w:lang w:val="en-US" w:eastAsia="en-GB"/>
        </w:rPr>
      </w:pPr>
    </w:p>
    <w:p w:rsidR="006370D8" w:rsidRDefault="006370D8" w:rsidP="006370D8">
      <w:pPr>
        <w:autoSpaceDE w:val="0"/>
        <w:autoSpaceDN w:val="0"/>
        <w:adjustRightInd w:val="0"/>
        <w:spacing w:after="0" w:line="240" w:lineRule="auto"/>
        <w:jc w:val="both"/>
        <w:rPr>
          <w:rFonts w:eastAsia="Calibri" w:cs="Arial"/>
          <w:b/>
          <w:sz w:val="24"/>
          <w:szCs w:val="24"/>
          <w:lang w:val="en-US" w:eastAsia="en-GB"/>
        </w:rPr>
      </w:pPr>
      <w:r w:rsidRPr="006370D8">
        <w:rPr>
          <w:b/>
          <w:sz w:val="24"/>
          <w:szCs w:val="24"/>
          <w:lang w:val="en-US"/>
        </w:rPr>
        <w:t>A VERY PROMISING PROJECT AS A GOOD PRACTICE</w:t>
      </w:r>
      <w:r w:rsidRPr="006370D8">
        <w:rPr>
          <w:rFonts w:eastAsia="Calibri" w:cs="Arial"/>
          <w:b/>
          <w:sz w:val="24"/>
          <w:szCs w:val="24"/>
          <w:lang w:val="en-US" w:eastAsia="en-GB"/>
        </w:rPr>
        <w:t xml:space="preserve"> THE ELIMINATION OF COERCION, RESTRAINTS AND SECLUSION</w:t>
      </w:r>
    </w:p>
    <w:p w:rsidR="006370D8" w:rsidRPr="006370D8" w:rsidRDefault="006370D8" w:rsidP="006370D8">
      <w:pPr>
        <w:autoSpaceDE w:val="0"/>
        <w:autoSpaceDN w:val="0"/>
        <w:adjustRightInd w:val="0"/>
        <w:spacing w:after="0" w:line="240" w:lineRule="auto"/>
        <w:jc w:val="both"/>
        <w:rPr>
          <w:rFonts w:eastAsia="Calibri" w:cs="Arial"/>
          <w:b/>
          <w:sz w:val="24"/>
          <w:szCs w:val="24"/>
          <w:lang w:val="en-US" w:eastAsia="en-GB"/>
        </w:rPr>
      </w:pPr>
    </w:p>
    <w:p w:rsidR="008A7327" w:rsidRPr="00474A91" w:rsidRDefault="008A7327" w:rsidP="008A7327">
      <w:pPr>
        <w:spacing w:after="120"/>
        <w:jc w:val="both"/>
        <w:rPr>
          <w:sz w:val="24"/>
          <w:szCs w:val="24"/>
          <w:lang w:val="en-US"/>
        </w:rPr>
      </w:pPr>
      <w:r w:rsidRPr="00474A91">
        <w:rPr>
          <w:sz w:val="24"/>
          <w:szCs w:val="24"/>
          <w:lang w:val="en-US"/>
        </w:rPr>
        <w:t xml:space="preserve">The aim of the </w:t>
      </w:r>
      <w:proofErr w:type="gramStart"/>
      <w:r w:rsidRPr="00474A91">
        <w:rPr>
          <w:sz w:val="24"/>
          <w:szCs w:val="24"/>
          <w:lang w:val="en-US"/>
        </w:rPr>
        <w:t xml:space="preserve">project </w:t>
      </w:r>
      <w:r w:rsidRPr="00474A91">
        <w:rPr>
          <w:b/>
          <w:sz w:val="24"/>
          <w:szCs w:val="24"/>
          <w:lang w:val="en-US"/>
        </w:rPr>
        <w:t xml:space="preserve"> </w:t>
      </w:r>
      <w:proofErr w:type="gramEnd"/>
      <w:r w:rsidR="005E11EE">
        <w:fldChar w:fldCharType="begin"/>
      </w:r>
      <w:r w:rsidR="005E11EE" w:rsidRPr="005E11EE">
        <w:rPr>
          <w:lang w:val="en-US"/>
        </w:rPr>
        <w:instrText xml:space="preserve"> HYPERLINK "https://psy-dikaiomata.gr/en/what-we-do-2/" </w:instrText>
      </w:r>
      <w:r w:rsidR="005E11EE">
        <w:fldChar w:fldCharType="separate"/>
      </w:r>
      <w:r w:rsidRPr="00474A91">
        <w:rPr>
          <w:rStyle w:val="-"/>
          <w:b/>
          <w:sz w:val="24"/>
          <w:szCs w:val="24"/>
          <w:lang w:val="en-US"/>
        </w:rPr>
        <w:t xml:space="preserve">"Action Platform for the Rights in Mental Health" </w:t>
      </w:r>
      <w:r w:rsidR="005E11EE">
        <w:rPr>
          <w:rStyle w:val="-"/>
          <w:b/>
          <w:sz w:val="24"/>
          <w:szCs w:val="24"/>
          <w:lang w:val="en-US"/>
        </w:rPr>
        <w:fldChar w:fldCharType="end"/>
      </w:r>
      <w:r w:rsidRPr="00474A91">
        <w:rPr>
          <w:b/>
          <w:sz w:val="24"/>
          <w:szCs w:val="24"/>
          <w:lang w:val="en-US"/>
        </w:rPr>
        <w:t xml:space="preserve"> </w:t>
      </w:r>
      <w:r w:rsidRPr="00474A91">
        <w:rPr>
          <w:sz w:val="24"/>
          <w:szCs w:val="24"/>
          <w:lang w:val="en-US"/>
        </w:rPr>
        <w:t>(This project was funded</w:t>
      </w:r>
      <w:r>
        <w:rPr>
          <w:sz w:val="24"/>
          <w:szCs w:val="24"/>
          <w:lang w:val="en-US"/>
        </w:rPr>
        <w:t xml:space="preserve"> during May 2015 - April 2016</w:t>
      </w:r>
      <w:r w:rsidRPr="00474A91">
        <w:rPr>
          <w:sz w:val="24"/>
          <w:szCs w:val="24"/>
          <w:lang w:val="en-US"/>
        </w:rPr>
        <w:t xml:space="preserve"> by the EEA Grants in the context of the </w:t>
      </w:r>
      <w:r>
        <w:rPr>
          <w:sz w:val="24"/>
          <w:szCs w:val="24"/>
          <w:lang w:val="en-US"/>
        </w:rPr>
        <w:t xml:space="preserve">Greek </w:t>
      </w:r>
      <w:r w:rsidRPr="00474A91">
        <w:rPr>
          <w:sz w:val="24"/>
          <w:szCs w:val="24"/>
          <w:lang w:val="en-US"/>
        </w:rPr>
        <w:t xml:space="preserve">NGO Programme “We are all Citizens”. The </w:t>
      </w:r>
      <w:proofErr w:type="spellStart"/>
      <w:r w:rsidRPr="00474A91">
        <w:rPr>
          <w:sz w:val="24"/>
          <w:szCs w:val="24"/>
          <w:lang w:val="en-US"/>
        </w:rPr>
        <w:t>Bodossaki</w:t>
      </w:r>
      <w:proofErr w:type="spellEnd"/>
      <w:r w:rsidRPr="00474A91">
        <w:rPr>
          <w:sz w:val="24"/>
          <w:szCs w:val="24"/>
          <w:lang w:val="en-US"/>
        </w:rPr>
        <w:t xml:space="preserve"> Foundation is/was the Fund Operator of this Programme) </w:t>
      </w:r>
      <w:r w:rsidRPr="00474A91">
        <w:rPr>
          <w:b/>
          <w:sz w:val="24"/>
          <w:szCs w:val="24"/>
          <w:lang w:val="en-US"/>
        </w:rPr>
        <w:t xml:space="preserve"> </w:t>
      </w:r>
      <w:r w:rsidRPr="00474A91">
        <w:rPr>
          <w:sz w:val="24"/>
          <w:szCs w:val="24"/>
          <w:lang w:val="en-US"/>
        </w:rPr>
        <w:t xml:space="preserve">was to bring about a “paradigm shift” in mental health rights perception with a view not just to tolerate as a society but to fully support the self-evident rights of people with mental health problems facing stigma and exclusion. </w:t>
      </w:r>
    </w:p>
    <w:p w:rsidR="008A7327" w:rsidRPr="00474A91" w:rsidRDefault="008A7327" w:rsidP="008A7327">
      <w:pPr>
        <w:spacing w:after="120"/>
        <w:jc w:val="both"/>
        <w:rPr>
          <w:sz w:val="24"/>
          <w:szCs w:val="24"/>
          <w:lang w:val="en-US"/>
        </w:rPr>
      </w:pPr>
      <w:r w:rsidRPr="00474A91">
        <w:rPr>
          <w:sz w:val="24"/>
          <w:szCs w:val="24"/>
          <w:lang w:val="en-US"/>
        </w:rPr>
        <w:t xml:space="preserve">The main pillar of the project was the operation of the </w:t>
      </w:r>
      <w:r w:rsidRPr="00474A91">
        <w:rPr>
          <w:b/>
          <w:sz w:val="24"/>
          <w:szCs w:val="24"/>
          <w:lang w:val="en-US"/>
        </w:rPr>
        <w:t>first Advocacy Office in Greece</w:t>
      </w:r>
      <w:r w:rsidRPr="00474A91">
        <w:rPr>
          <w:sz w:val="24"/>
          <w:szCs w:val="24"/>
          <w:lang w:val="en-US"/>
        </w:rPr>
        <w:t xml:space="preserve">, which responded to </w:t>
      </w:r>
      <w:r w:rsidRPr="00474A91">
        <w:rPr>
          <w:b/>
          <w:sz w:val="24"/>
          <w:szCs w:val="24"/>
          <w:lang w:val="en-US"/>
        </w:rPr>
        <w:t xml:space="preserve">319 cases </w:t>
      </w:r>
      <w:r w:rsidRPr="00474A91">
        <w:rPr>
          <w:sz w:val="24"/>
          <w:szCs w:val="24"/>
          <w:lang w:val="en-US"/>
        </w:rPr>
        <w:t xml:space="preserve">in close collaboration with key actors in the field of advocacy (Greek Ombudsman, the Special Committee for </w:t>
      </w:r>
      <w:proofErr w:type="gramStart"/>
      <w:r w:rsidRPr="00474A91">
        <w:rPr>
          <w:sz w:val="24"/>
          <w:szCs w:val="24"/>
          <w:lang w:val="en-US"/>
        </w:rPr>
        <w:t>Monitoring  the</w:t>
      </w:r>
      <w:proofErr w:type="gramEnd"/>
      <w:r w:rsidRPr="00474A91">
        <w:rPr>
          <w:sz w:val="24"/>
          <w:szCs w:val="24"/>
          <w:lang w:val="en-US"/>
        </w:rPr>
        <w:t xml:space="preserve"> Protection of the Rights of People with Mental Disorders etc). </w:t>
      </w:r>
    </w:p>
    <w:p w:rsidR="008A7327" w:rsidRPr="00474A91" w:rsidRDefault="008A7327" w:rsidP="008A7327">
      <w:pPr>
        <w:spacing w:after="120"/>
        <w:jc w:val="both"/>
        <w:rPr>
          <w:sz w:val="24"/>
          <w:szCs w:val="24"/>
          <w:lang w:val="en-US"/>
        </w:rPr>
      </w:pPr>
      <w:r w:rsidRPr="00474A91">
        <w:rPr>
          <w:sz w:val="24"/>
          <w:szCs w:val="24"/>
          <w:lang w:val="en-US"/>
        </w:rPr>
        <w:t xml:space="preserve">The </w:t>
      </w:r>
      <w:r w:rsidRPr="00474A91">
        <w:rPr>
          <w:b/>
          <w:sz w:val="24"/>
          <w:szCs w:val="24"/>
          <w:lang w:val="en-US"/>
        </w:rPr>
        <w:t>website</w:t>
      </w:r>
      <w:r w:rsidRPr="00474A91">
        <w:rPr>
          <w:sz w:val="24"/>
          <w:szCs w:val="24"/>
          <w:lang w:val="en-US"/>
        </w:rPr>
        <w:t xml:space="preserve"> -developed for the needs of the project- included the training material, a </w:t>
      </w:r>
      <w:r w:rsidRPr="00474A91">
        <w:rPr>
          <w:b/>
          <w:sz w:val="24"/>
          <w:szCs w:val="24"/>
          <w:lang w:val="en-US"/>
        </w:rPr>
        <w:t>digital legal library</w:t>
      </w:r>
      <w:r w:rsidRPr="00474A91">
        <w:rPr>
          <w:sz w:val="24"/>
          <w:szCs w:val="24"/>
          <w:lang w:val="en-US"/>
        </w:rPr>
        <w:t xml:space="preserve"> and a </w:t>
      </w:r>
      <w:r w:rsidRPr="00474A91">
        <w:rPr>
          <w:b/>
          <w:sz w:val="24"/>
          <w:szCs w:val="24"/>
          <w:lang w:val="en-US"/>
        </w:rPr>
        <w:t>mental health rights guide</w:t>
      </w:r>
      <w:r w:rsidRPr="00474A91">
        <w:rPr>
          <w:sz w:val="24"/>
          <w:szCs w:val="24"/>
          <w:lang w:val="en-US"/>
        </w:rPr>
        <w:t xml:space="preserve">. The approximately 20.000 visitors </w:t>
      </w:r>
      <w:proofErr w:type="gramStart"/>
      <w:r w:rsidRPr="00474A91">
        <w:rPr>
          <w:sz w:val="24"/>
          <w:szCs w:val="24"/>
          <w:lang w:val="en-US"/>
        </w:rPr>
        <w:t>has</w:t>
      </w:r>
      <w:proofErr w:type="gramEnd"/>
      <w:r w:rsidRPr="00474A91">
        <w:rPr>
          <w:sz w:val="24"/>
          <w:szCs w:val="24"/>
          <w:lang w:val="en-US"/>
        </w:rPr>
        <w:t xml:space="preserve"> rendered it as a reliable source of information about mental health rights both for services' users and professionals.</w:t>
      </w:r>
    </w:p>
    <w:p w:rsidR="008A7327" w:rsidRPr="00474A91" w:rsidRDefault="008A7327" w:rsidP="008A7327">
      <w:pPr>
        <w:rPr>
          <w:sz w:val="24"/>
          <w:szCs w:val="24"/>
          <w:lang w:val="en-US"/>
        </w:rPr>
      </w:pPr>
      <w:r w:rsidRPr="00474A91">
        <w:rPr>
          <w:b/>
          <w:sz w:val="24"/>
          <w:szCs w:val="24"/>
          <w:lang w:val="en-US"/>
        </w:rPr>
        <w:t>Lobbying</w:t>
      </w:r>
      <w:r w:rsidRPr="00474A91">
        <w:rPr>
          <w:sz w:val="24"/>
          <w:szCs w:val="24"/>
          <w:lang w:val="en-US"/>
        </w:rPr>
        <w:t xml:space="preserve">, along with promotion activities have contributed tremendously in </w:t>
      </w:r>
      <w:r w:rsidRPr="00474A91">
        <w:rPr>
          <w:b/>
          <w:sz w:val="24"/>
          <w:szCs w:val="24"/>
          <w:lang w:val="en-US"/>
        </w:rPr>
        <w:t>raising awareness about mental health rights</w:t>
      </w:r>
      <w:r w:rsidRPr="00474A91">
        <w:rPr>
          <w:sz w:val="24"/>
          <w:szCs w:val="24"/>
          <w:lang w:val="en-US"/>
        </w:rPr>
        <w:t xml:space="preserve">, while have also supported the sustainability of the project. More specifically, as regards the feasibility of the Advocacy Office, we have developed a well-documented proposal looking for new sponsors. In the meantime, we maintain the service on a voluntary basis for two months. </w:t>
      </w:r>
    </w:p>
    <w:p w:rsidR="008A7327" w:rsidRPr="00C77E14" w:rsidRDefault="008A7327" w:rsidP="008A7327">
      <w:pPr>
        <w:jc w:val="both"/>
        <w:rPr>
          <w:sz w:val="24"/>
          <w:szCs w:val="24"/>
          <w:lang w:val="en-US"/>
        </w:rPr>
      </w:pPr>
      <w:r w:rsidRPr="00474A91">
        <w:rPr>
          <w:sz w:val="24"/>
          <w:szCs w:val="24"/>
          <w:lang w:val="en-US"/>
        </w:rPr>
        <w:t xml:space="preserve">Based on the viability of the project, the Society of Social Psychiatry and Mental Health </w:t>
      </w:r>
      <w:r w:rsidRPr="00423665">
        <w:rPr>
          <w:b/>
          <w:sz w:val="24"/>
          <w:szCs w:val="24"/>
          <w:lang w:val="en-US"/>
        </w:rPr>
        <w:t>continues to offer free seminars about mental health rights to targeted groups</w:t>
      </w:r>
      <w:r w:rsidRPr="00474A91">
        <w:rPr>
          <w:sz w:val="24"/>
          <w:szCs w:val="24"/>
          <w:lang w:val="en-US"/>
        </w:rPr>
        <w:t xml:space="preserve"> (i.e. police officers) that expressed intense interest following their first experience, while our organization maintains a collaboration with policy makers (i.e. Ministry of Justice) in an effort to further advocate and promote the rights of people with mental health problems.</w:t>
      </w:r>
      <w:r>
        <w:rPr>
          <w:sz w:val="24"/>
          <w:szCs w:val="24"/>
          <w:lang w:val="en-US"/>
        </w:rPr>
        <w:t xml:space="preserve"> We are also trying to find funding for the continuity of this project. </w:t>
      </w:r>
    </w:p>
    <w:p w:rsidR="008E03B7" w:rsidRPr="008E03B7" w:rsidRDefault="008E03B7" w:rsidP="006370D8">
      <w:pPr>
        <w:pStyle w:val="a3"/>
        <w:autoSpaceDE w:val="0"/>
        <w:autoSpaceDN w:val="0"/>
        <w:adjustRightInd w:val="0"/>
        <w:spacing w:after="0" w:line="240" w:lineRule="auto"/>
        <w:jc w:val="both"/>
        <w:rPr>
          <w:rFonts w:eastAsia="Calibri" w:cs="Arial"/>
          <w:b/>
          <w:sz w:val="24"/>
          <w:szCs w:val="24"/>
          <w:lang w:val="en-US" w:eastAsia="en-GB"/>
        </w:rPr>
      </w:pPr>
    </w:p>
    <w:p w:rsidR="008E03B7" w:rsidRPr="001559FB" w:rsidRDefault="008E03B7" w:rsidP="008E03B7">
      <w:pPr>
        <w:autoSpaceDE w:val="0"/>
        <w:autoSpaceDN w:val="0"/>
        <w:adjustRightInd w:val="0"/>
        <w:spacing w:after="0" w:line="240" w:lineRule="auto"/>
        <w:jc w:val="both"/>
        <w:rPr>
          <w:rFonts w:eastAsia="Calibri" w:cs="Arial"/>
          <w:sz w:val="24"/>
          <w:szCs w:val="24"/>
          <w:lang w:val="en-US" w:eastAsia="en-GB"/>
        </w:rPr>
      </w:pPr>
    </w:p>
    <w:p w:rsidR="008E03B7" w:rsidRPr="008E03B7" w:rsidRDefault="008E03B7" w:rsidP="008E03B7">
      <w:pPr>
        <w:pStyle w:val="a3"/>
        <w:autoSpaceDE w:val="0"/>
        <w:autoSpaceDN w:val="0"/>
        <w:adjustRightInd w:val="0"/>
        <w:spacing w:after="0" w:line="240" w:lineRule="auto"/>
        <w:ind w:left="0"/>
        <w:jc w:val="both"/>
        <w:rPr>
          <w:rFonts w:asciiTheme="minorHAnsi" w:eastAsia="Calibri" w:hAnsiTheme="minorHAnsi" w:cs="Arial"/>
          <w:i/>
          <w:sz w:val="24"/>
          <w:szCs w:val="24"/>
          <w:lang w:val="en-US" w:eastAsia="en-GB"/>
        </w:rPr>
      </w:pPr>
    </w:p>
    <w:p w:rsidR="008E03B7" w:rsidRDefault="006C2B2F" w:rsidP="006C2B2F">
      <w:pPr>
        <w:pStyle w:val="a3"/>
        <w:autoSpaceDE w:val="0"/>
        <w:autoSpaceDN w:val="0"/>
        <w:adjustRightInd w:val="0"/>
        <w:spacing w:after="0" w:line="240" w:lineRule="auto"/>
        <w:ind w:left="0"/>
        <w:jc w:val="right"/>
        <w:rPr>
          <w:rFonts w:asciiTheme="minorHAnsi" w:eastAsia="Calibri" w:hAnsiTheme="minorHAnsi" w:cs="Arial"/>
          <w:b/>
          <w:i/>
          <w:sz w:val="24"/>
          <w:szCs w:val="24"/>
          <w:lang w:val="en-US" w:eastAsia="en-GB"/>
        </w:rPr>
      </w:pPr>
      <w:r>
        <w:rPr>
          <w:rFonts w:asciiTheme="minorHAnsi" w:eastAsia="Calibri" w:hAnsiTheme="minorHAnsi" w:cs="Arial"/>
          <w:b/>
          <w:i/>
          <w:sz w:val="24"/>
          <w:szCs w:val="24"/>
          <w:lang w:val="en-US" w:eastAsia="en-GB"/>
        </w:rPr>
        <w:t>Dimitris Tataridis</w:t>
      </w:r>
    </w:p>
    <w:p w:rsidR="006C2B2F" w:rsidRDefault="006C2B2F" w:rsidP="006C2B2F">
      <w:pPr>
        <w:pStyle w:val="a3"/>
        <w:autoSpaceDE w:val="0"/>
        <w:autoSpaceDN w:val="0"/>
        <w:adjustRightInd w:val="0"/>
        <w:spacing w:after="0" w:line="240" w:lineRule="auto"/>
        <w:ind w:left="0"/>
        <w:jc w:val="right"/>
        <w:rPr>
          <w:rFonts w:asciiTheme="minorHAnsi" w:eastAsia="Calibri" w:hAnsiTheme="minorHAnsi" w:cs="Arial"/>
          <w:b/>
          <w:i/>
          <w:sz w:val="24"/>
          <w:szCs w:val="24"/>
          <w:lang w:val="en-US" w:eastAsia="en-GB"/>
        </w:rPr>
      </w:pPr>
      <w:r>
        <w:rPr>
          <w:rFonts w:asciiTheme="minorHAnsi" w:eastAsia="Calibri" w:hAnsiTheme="minorHAnsi" w:cs="Arial"/>
          <w:b/>
          <w:i/>
          <w:sz w:val="24"/>
          <w:szCs w:val="24"/>
          <w:lang w:val="en-US" w:eastAsia="en-GB"/>
        </w:rPr>
        <w:t xml:space="preserve">Panagiota Fitsiou </w:t>
      </w:r>
    </w:p>
    <w:p w:rsidR="008E03B7" w:rsidRPr="008E03B7" w:rsidRDefault="008E03B7">
      <w:pPr>
        <w:rPr>
          <w:rFonts w:eastAsia="Calibri" w:cs="Arial"/>
          <w:sz w:val="24"/>
          <w:szCs w:val="24"/>
          <w:lang w:val="en-US" w:eastAsia="en-GB"/>
        </w:rPr>
      </w:pPr>
    </w:p>
    <w:sectPr w:rsidR="008E03B7" w:rsidRPr="008E03B7" w:rsidSect="005F664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C769A6"/>
    <w:multiLevelType w:val="hybridMultilevel"/>
    <w:tmpl w:val="EF6CB8C4"/>
    <w:lvl w:ilvl="0" w:tplc="A9443F0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331F6A77"/>
    <w:multiLevelType w:val="hybridMultilevel"/>
    <w:tmpl w:val="FC607346"/>
    <w:lvl w:ilvl="0" w:tplc="04100019">
      <w:start w:val="1"/>
      <w:numFmt w:val="lowerLetter"/>
      <w:lvlText w:val="%1."/>
      <w:lvlJc w:val="left"/>
      <w:pPr>
        <w:ind w:left="720" w:hanging="360"/>
      </w:p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6CD62129"/>
    <w:multiLevelType w:val="hybridMultilevel"/>
    <w:tmpl w:val="C7D601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3B7"/>
    <w:rsid w:val="000B75B0"/>
    <w:rsid w:val="002016C5"/>
    <w:rsid w:val="005E11EE"/>
    <w:rsid w:val="005F5819"/>
    <w:rsid w:val="005F664B"/>
    <w:rsid w:val="006370D8"/>
    <w:rsid w:val="006C2B2F"/>
    <w:rsid w:val="008A7327"/>
    <w:rsid w:val="008E03B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03B7"/>
    <w:pPr>
      <w:ind w:left="720"/>
      <w:contextualSpacing/>
    </w:pPr>
    <w:rPr>
      <w:rFonts w:ascii="Calibri" w:eastAsia="Times New Roman" w:hAnsi="Calibri" w:cs="Calibri"/>
      <w:lang w:val="en-GB"/>
    </w:rPr>
  </w:style>
  <w:style w:type="character" w:styleId="-">
    <w:name w:val="Hyperlink"/>
    <w:rsid w:val="008A732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03B7"/>
    <w:pPr>
      <w:ind w:left="720"/>
      <w:contextualSpacing/>
    </w:pPr>
    <w:rPr>
      <w:rFonts w:ascii="Calibri" w:eastAsia="Times New Roman" w:hAnsi="Calibri" w:cs="Calibri"/>
      <w:lang w:val="en-GB"/>
    </w:rPr>
  </w:style>
  <w:style w:type="character" w:styleId="-">
    <w:name w:val="Hyperlink"/>
    <w:rsid w:val="008A73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1258</Words>
  <Characters>6799</Characters>
  <Application>Microsoft Office Word</Application>
  <DocSecurity>0</DocSecurity>
  <Lines>56</Lines>
  <Paragraphs>16</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8041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Panagiota</dc:creator>
  <cp:lastModifiedBy>NIKI</cp:lastModifiedBy>
  <cp:revision>2</cp:revision>
  <dcterms:created xsi:type="dcterms:W3CDTF">2018-01-12T12:49:00Z</dcterms:created>
  <dcterms:modified xsi:type="dcterms:W3CDTF">2018-01-12T12:49:00Z</dcterms:modified>
</cp:coreProperties>
</file>